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A7" w:rsidRDefault="00D854A7" w:rsidP="004B6249">
      <w:pPr>
        <w:jc w:val="right"/>
        <w:rPr>
          <w:rFonts w:ascii="Times New Roman" w:hAnsi="Times New Roman"/>
        </w:rPr>
      </w:pPr>
    </w:p>
    <w:p w:rsidR="00D854A7" w:rsidRDefault="00D854A7" w:rsidP="004B6249">
      <w:pPr>
        <w:jc w:val="right"/>
        <w:rPr>
          <w:rFonts w:ascii="Times New Roman" w:hAnsi="Times New Roman"/>
        </w:rPr>
      </w:pPr>
      <w:r w:rsidRPr="004B6249">
        <w:rPr>
          <w:rFonts w:ascii="Times New Roman" w:hAnsi="Times New Roman"/>
        </w:rPr>
        <w:t>Kraków</w:t>
      </w:r>
      <w:r>
        <w:rPr>
          <w:rFonts w:ascii="Times New Roman" w:hAnsi="Times New Roman"/>
        </w:rPr>
        <w:t>,</w:t>
      </w:r>
      <w:r w:rsidRPr="004B62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15 czerwca  2018 r.</w:t>
      </w:r>
    </w:p>
    <w:p w:rsidR="00D854A7" w:rsidRDefault="00D854A7" w:rsidP="002B2525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hAnsi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D854A7" w:rsidRDefault="00D854A7" w:rsidP="002B2525">
      <w:pPr>
        <w:spacing w:after="0" w:line="240" w:lineRule="auto"/>
        <w:jc w:val="center"/>
        <w:rPr>
          <w:rFonts w:ascii="Times New Roman" w:hAnsi="Times New Roman"/>
          <w:b/>
          <w:sz w:val="28"/>
          <w:shd w:val="clear" w:color="auto" w:fill="FFFFFF"/>
          <w:lang w:eastAsia="pl-PL"/>
        </w:rPr>
      </w:pPr>
    </w:p>
    <w:p w:rsidR="00D854A7" w:rsidRPr="00E776C3" w:rsidRDefault="00D854A7" w:rsidP="002B25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pl-PL"/>
        </w:rPr>
      </w:pPr>
      <w:r w:rsidRPr="00E776C3">
        <w:rPr>
          <w:rFonts w:ascii="Times New Roman" w:hAnsi="Times New Roman"/>
          <w:b/>
          <w:sz w:val="32"/>
          <w:szCs w:val="32"/>
          <w:shd w:val="clear" w:color="auto" w:fill="FFFFFF"/>
          <w:lang w:eastAsia="pl-PL"/>
        </w:rPr>
        <w:t>SZPITAL IM.  DR JÓZEFA BABIŃSKIEGO W KRAKOWIE</w:t>
      </w:r>
    </w:p>
    <w:p w:rsidR="00D854A7" w:rsidRPr="00E776C3" w:rsidRDefault="00D854A7" w:rsidP="002B252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shd w:val="clear" w:color="auto" w:fill="FFFFFF"/>
          <w:lang w:eastAsia="pl-PL"/>
        </w:rPr>
      </w:pPr>
      <w:r w:rsidRPr="00E776C3">
        <w:rPr>
          <w:rFonts w:ascii="Times New Roman" w:hAnsi="Times New Roman"/>
          <w:b/>
          <w:sz w:val="32"/>
          <w:szCs w:val="32"/>
          <w:shd w:val="clear" w:color="auto" w:fill="FFFFFF"/>
          <w:lang w:eastAsia="pl-PL"/>
        </w:rPr>
        <w:t>ZMIENIA NAZWĘ</w:t>
      </w:r>
      <w:r>
        <w:rPr>
          <w:rFonts w:ascii="Times New Roman" w:hAnsi="Times New Roman"/>
          <w:b/>
          <w:sz w:val="32"/>
          <w:szCs w:val="32"/>
          <w:shd w:val="clear" w:color="auto" w:fill="FFFFFF"/>
          <w:lang w:eastAsia="pl-PL"/>
        </w:rPr>
        <w:t xml:space="preserve"> CHOCIAŻ NIE PATRONA </w:t>
      </w:r>
    </w:p>
    <w:p w:rsidR="00C7313D" w:rsidRPr="00C7313D" w:rsidRDefault="00C7313D" w:rsidP="00C73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  <w:t>SZPITAL IM. DR JÓZEFA BABIŃSKIEGO SPZOZ W KRAKOWIE</w:t>
      </w:r>
    </w:p>
    <w:p w:rsidR="00C7313D" w:rsidRPr="00C7313D" w:rsidRDefault="00C7313D" w:rsidP="00C73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  <w:t>STAŁ SIĘ OFICJALNIE SZPITALEM KLINICZNYM</w:t>
      </w:r>
    </w:p>
    <w:p w:rsidR="00C7313D" w:rsidRPr="00C7313D" w:rsidRDefault="00C7313D" w:rsidP="00C7313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C7313D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Miło mi poinformować Państwa, że  Szpital im. dr.  Józefa Babińskiego w  Krakowie zmienia nazwę ze „specjalistycznego” na „kliniczny”. Patronem Szpitala pozostaje dr. Józef </w:t>
      </w: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Babiński, bo chociaż nie był on osobiście związany z Kobierzynem, to dziś nazwa „Szpital im. Józefa Babińskiego w Krakowie” jest znaną i mocną marką na rynku świadczeń zdrowotnych nie tylko w regionie, ale także w kraju, a nawet za granicą.</w:t>
      </w:r>
    </w:p>
    <w:p w:rsidR="00C7313D" w:rsidRPr="00C7313D" w:rsidRDefault="00C7313D" w:rsidP="00C7313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W dniu  28 maja 2018 roku Sejmik Województwa Małopolskiego, jako organ tworzący przychylił się do wniosku Szpitala i podjął decyzje o zmianie nazwy jednostki. w dniu 27 czerwca uchwała Sejmiku się uprawomocniła, a po dokonaniu stosownych zmian wpisów do KRS i rejestrze placówek medycznych  nasz Szpital nosi już oficjalnie nazwę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C73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  <w:t>SZPITAL KLINICZNY IM. DR JÓZEFA BABIŃSKIEGO</w:t>
      </w:r>
    </w:p>
    <w:p w:rsidR="00C7313D" w:rsidRPr="00C7313D" w:rsidRDefault="00C7313D" w:rsidP="00C731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b/>
          <w:sz w:val="28"/>
          <w:szCs w:val="28"/>
          <w:shd w:val="clear" w:color="auto" w:fill="FFFFFF"/>
          <w:lang w:eastAsia="pl-PL"/>
        </w:rPr>
        <w:t>Samodzielny Publiczny Zakład Opieki Zdrowotnej w Krakowie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Zmiana ta ponosząca prestiż Szpitala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,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sankcjonuje wprowadzane od kilku </w:t>
      </w:r>
      <w:r w:rsidR="00491C9E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już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lat zmiany - takie jak rozwijanie badań naukowych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,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współpraca z krakowskimi uczelniami oraz rozwój kadry - podnoszenie kwalifikacji personelu szpitala </w:t>
      </w:r>
      <w:r w:rsidR="00491C9E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mające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wyraz w zdobywan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ych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przez </w:t>
      </w:r>
      <w:r w:rsidR="00491C9E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zatrudnionych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tu lekarzy i psychologów stopni naukowych.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491C9E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W</w:t>
      </w:r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końc</w:t>
      </w: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u</w:t>
      </w:r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2017 roku Szpital podpisał Porozumienie o Współpracy z Krakowską Akademią im. Andrzeja Frycza Modrzewskiego  oraz uszczegóławiającą go Umowę. Na jej mocy studenci Wydziału Lekarskiego i Nauk o Zdrowiu będą mogli odbywać zajęcia kliniczne i praktyki na oddziałach Szpitala  oraz korzystać z aparatury szpitalnej. W roku akademickim 2018/2019 będzie to 120 studentów, w kolejnych latach spodziewany się większej ich liczby, w tym również studentów z zagranicy. Zainteresowanie odbywaniem staży i praktyk w Szpitalu są również studenci innych kierunków – pielęgniarstwa, ratownictwa medycznego i psychologii tej Uczelni. </w:t>
      </w: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Wcześniej</w:t>
      </w:r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z zasobów i doświadczenia pracowników Szpitala, a także jego byłych pacjentów  korzystali studenci </w:t>
      </w: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p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ielęgniarstwa</w:t>
      </w:r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i socjologii oraz prawa i nauk politycznych Uniwersytetu Jagiellońskiego, a</w:t>
      </w:r>
      <w:r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także  pedagogiki specjalnej i </w:t>
      </w:r>
      <w:proofErr w:type="spellStart"/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arteterapii</w:t>
      </w:r>
      <w:proofErr w:type="spellEnd"/>
      <w:r w:rsidR="00C7313D"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Uniwersytetu Pedagogicznego im. Komisji Edukacji Narodowej w Krakowie.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Szpital będzie bazą do prowadzenia zająć klinicznych oraz wspólnych badań w obszarze nauk medycznych. Już obecnie organizowane są spotkania studentów z byłymi pacjentami Szpitala, którzy opowiadają o przebiegu swojego chorowania, leczenia i o procesie zdrowienia. Studenci zwiedzają także wystawę „Uważaj na głowę” przygotowaną przez byłych pacjentów Szpitala. Powstała ona w czasie realizacji wspólnego projektu „Kobierzyn Bliżej – przeciw stygmatyzacji osób chorych psychicznie” i jest jedyną pokazującą chorobę, leczenie i zdrowienie z punktu widzenia osób, które doświadczyły kryzysów psychicznych.</w:t>
      </w:r>
    </w:p>
    <w:p w:rsidR="00C7313D" w:rsidRPr="00C7313D" w:rsidRDefault="00C7313D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W 2017 roku Szpital utworzył Ośrodek Edukacji, Badań i Rozwoju. Obecnie na nim spoczywa główny ciężar odpowiedzialności za współpracę z Krakowską Akademią. Równolegle w ramach Ośrodka prowadzone są szkolenia specjalistyczne i specjalizacyjne, w tym duże szkolenie „Kontakt w leczeniu. Szkolenia dla personelu medycznego i niemedycznego - kontakt z osobami cierpiącymi na zaburzenia psychiczne”. Finansowane ze środków przekazanych przez Ministerstwo Zdrowia w ramach Narodowego Programu Zdrowia zakłada przeszkolenie 2500 pracowników ochrony zdrowia zarówno medycznych – (lekarze i pielęgniarki) jak i niemedycznych (m.in. pracownicy rejestracji i farmaceuci, pracownicy socjalni) z województw małopolskiego i podkarpackiego. Przeszkolono już 1600 osób i obecnie prowadzona jest rekrutacja na ostatnie wolne miejsca. Uczestnicy bardzo wysoko oceniają przygotowany przez Szpital program merytoryczny, a także praktyczną wiedzę, jaką daje im szkolenie.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</w:p>
    <w:p w:rsidR="00C7313D" w:rsidRPr="00C7313D" w:rsidRDefault="00C7313D" w:rsidP="00491C9E">
      <w:pPr>
        <w:spacing w:after="0" w:line="36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Ośrodek koordynuje także badania naukowe prowadzone przez pracowników Szpitala oraz organizuje seminaria wewnętrzne i zewnętrzne (z udziałem specjalistów z innych ośrodków). Jest także organizatorem konferencji, w tym zaplanowanej na jesień tego roku, drugiej już konferencji „Psychiatria i Duchowość” (wspólnie z Katedrą Psychiatrii UJ, Uniwersytetem Papieskim im. Jana Pawła II w Krakowie oraz Akademią </w:t>
      </w:r>
      <w:proofErr w:type="spellStart"/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Ignatianum</w:t>
      </w:r>
      <w:proofErr w:type="spellEnd"/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).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W ubiegłym roku Konferencja cieszyła się tak 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wielkim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zainteresowaniem profesjonalistów (lekarzy psychiatrów, psychologów, a także osób duchownych), tak, iż mimo ponad 120 miejsc, wielu chętnych nie mogło zostać wpisanych na listę uczestników.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Działalność edukacyjna i naukowa wpisuje się z strategię Szpitala, w szczególności w czwarty jej punkt, który brzmi  –„Uczyć się i dzielić swoją wiedzą oraz doświadczeniem”.</w:t>
      </w:r>
    </w:p>
    <w:p w:rsidR="00C7313D" w:rsidRPr="00C7313D" w:rsidRDefault="00C7313D" w:rsidP="00C7313D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C7313D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 </w:t>
      </w:r>
    </w:p>
    <w:p w:rsidR="00D854A7" w:rsidRPr="005C2874" w:rsidRDefault="00D854A7" w:rsidP="004B62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5C2874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>Maciej Bóbr</w:t>
      </w:r>
    </w:p>
    <w:p w:rsidR="00D854A7" w:rsidRPr="005C2874" w:rsidRDefault="00D854A7" w:rsidP="004B624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491C9E" w:rsidRDefault="00D854A7" w:rsidP="00FE6C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D854A7" w:rsidRPr="004B6249" w:rsidRDefault="00D854A7" w:rsidP="00FE6C11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5C2874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im. dr. Józefa Babińskiego </w:t>
      </w:r>
      <w:r w:rsidR="00491C9E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SPZOZ </w:t>
      </w:r>
      <w:r w:rsidRPr="005C2874">
        <w:rPr>
          <w:rFonts w:ascii="Times New Roman" w:hAnsi="Times New Roman"/>
          <w:sz w:val="28"/>
          <w:szCs w:val="28"/>
          <w:shd w:val="clear" w:color="auto" w:fill="FFFFFF"/>
          <w:lang w:eastAsia="pl-PL"/>
        </w:rPr>
        <w:t xml:space="preserve">w Krakowie </w:t>
      </w:r>
    </w:p>
    <w:sectPr w:rsidR="00D854A7" w:rsidRPr="004B6249" w:rsidSect="0000798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78A" w:rsidRDefault="0021078A" w:rsidP="003C18F9">
      <w:pPr>
        <w:spacing w:after="0" w:line="240" w:lineRule="auto"/>
      </w:pPr>
      <w:r>
        <w:separator/>
      </w:r>
    </w:p>
  </w:endnote>
  <w:endnote w:type="continuationSeparator" w:id="0">
    <w:p w:rsidR="0021078A" w:rsidRDefault="0021078A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7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bCs/>
        <w:kern w:val="2"/>
        <w:sz w:val="18"/>
        <w:szCs w:val="18"/>
        <w:lang w:eastAsia="hi-IN" w:bidi="hi-IN"/>
      </w:rPr>
    </w:pPr>
  </w:p>
  <w:p w:rsidR="00D854A7" w:rsidRPr="002D1078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hAnsi="Book Antiqua" w:cs="Mangal"/>
        <w:b/>
        <w:bCs/>
        <w:kern w:val="2"/>
        <w:sz w:val="18"/>
        <w:szCs w:val="18"/>
        <w:lang w:eastAsia="hi-IN" w:bidi="hi-IN"/>
      </w:rPr>
      <w:t>Szpital im. dr. Józefa Babińskiego SPZOZ w Krakowie</w:t>
    </w:r>
  </w:p>
  <w:p w:rsidR="00D854A7" w:rsidRPr="002D1078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D854A7" w:rsidRPr="002D1078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color w:val="0000FF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hAnsi="Book Antiqua" w:cs="Mangal"/>
          <w:b/>
          <w:color w:val="0000FF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hAnsi="Book Antiqua" w:cs="Mangal"/>
          <w:b/>
          <w:color w:val="0000FF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D854A7" w:rsidRPr="002D1078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hAnsi="Book Antiqua" w:cs="Mangal"/>
          <w:b/>
          <w:color w:val="0000FF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D854A7" w:rsidRDefault="00BB6195" w:rsidP="003C18F9">
    <w:pPr>
      <w:tabs>
        <w:tab w:val="center" w:pos="4536"/>
        <w:tab w:val="right" w:pos="9072"/>
      </w:tabs>
      <w:spacing w:after="0" w:line="240" w:lineRule="auto"/>
      <w:jc w:val="center"/>
    </w:pPr>
    <w:r>
      <w:rPr>
        <w:i/>
        <w:noProof/>
        <w:sz w:val="12"/>
        <w:szCs w:val="12"/>
        <w:lang w:eastAsia="pl-PL"/>
      </w:rPr>
      <w:drawing>
        <wp:inline distT="0" distB="0" distL="0" distR="0">
          <wp:extent cx="998220" cy="473075"/>
          <wp:effectExtent l="0" t="0" r="0" b="3175"/>
          <wp:docPr id="2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Palatino Linotype" w:hAnsi="Palatino Linotype" w:cs="Tahoma"/>
        <w:noProof/>
        <w:lang w:eastAsia="pl-PL"/>
      </w:rPr>
      <w:drawing>
        <wp:inline distT="0" distB="0" distL="0" distR="0">
          <wp:extent cx="998220" cy="462280"/>
          <wp:effectExtent l="0" t="0" r="0" b="0"/>
          <wp:docPr id="3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46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Book Antiqua" w:hAnsi="Book Antiqua"/>
        <w:noProof/>
        <w:sz w:val="16"/>
        <w:szCs w:val="16"/>
        <w:lang w:eastAsia="pl-PL"/>
      </w:rPr>
      <w:drawing>
        <wp:inline distT="0" distB="0" distL="0" distR="0">
          <wp:extent cx="1198245" cy="504190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808990" cy="431165"/>
          <wp:effectExtent l="0" t="0" r="0" b="6985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990" cy="431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4A7" w:rsidRDefault="00D854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78A" w:rsidRDefault="0021078A" w:rsidP="003C18F9">
      <w:pPr>
        <w:spacing w:after="0" w:line="240" w:lineRule="auto"/>
      </w:pPr>
      <w:r>
        <w:separator/>
      </w:r>
    </w:p>
  </w:footnote>
  <w:footnote w:type="continuationSeparator" w:id="0">
    <w:p w:rsidR="0021078A" w:rsidRDefault="0021078A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4A7" w:rsidRDefault="00BB6195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hAnsi="Book Antiqua" w:cs="Mangal"/>
        <w:b/>
        <w:noProof/>
        <w:kern w:val="2"/>
        <w:sz w:val="20"/>
        <w:szCs w:val="20"/>
        <w:lang w:eastAsia="pl-PL"/>
      </w:rPr>
      <w:drawing>
        <wp:inline distT="0" distB="0" distL="0" distR="0">
          <wp:extent cx="1534795" cy="1292860"/>
          <wp:effectExtent l="0" t="0" r="8255" b="254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1292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854A7" w:rsidRPr="007A1DF0" w:rsidRDefault="00D854A7" w:rsidP="003C18F9">
    <w:pPr>
      <w:widowControl w:val="0"/>
      <w:suppressAutoHyphens/>
      <w:spacing w:after="0" w:line="240" w:lineRule="auto"/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D854A7" w:rsidRPr="007A1DF0" w:rsidRDefault="00D854A7" w:rsidP="003C18F9">
    <w:pPr>
      <w:widowControl w:val="0"/>
      <w:suppressAutoHyphens/>
      <w:spacing w:after="0" w:line="240" w:lineRule="auto"/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D854A7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D854A7" w:rsidRPr="003C18F9" w:rsidRDefault="00D854A7" w:rsidP="003C18F9">
    <w:pPr>
      <w:widowControl w:val="0"/>
      <w:suppressAutoHyphens/>
      <w:spacing w:after="0" w:line="240" w:lineRule="auto"/>
      <w:jc w:val="center"/>
      <w:rPr>
        <w:rFonts w:ascii="Book Antiqua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0798E"/>
    <w:rsid w:val="00061289"/>
    <w:rsid w:val="000621A4"/>
    <w:rsid w:val="00095B9D"/>
    <w:rsid w:val="001002DA"/>
    <w:rsid w:val="0011202B"/>
    <w:rsid w:val="00114601"/>
    <w:rsid w:val="00170758"/>
    <w:rsid w:val="00176EA7"/>
    <w:rsid w:val="001B7363"/>
    <w:rsid w:val="001C5C07"/>
    <w:rsid w:val="001D1511"/>
    <w:rsid w:val="001E2799"/>
    <w:rsid w:val="0021078A"/>
    <w:rsid w:val="002133DF"/>
    <w:rsid w:val="002A6A8F"/>
    <w:rsid w:val="002B2525"/>
    <w:rsid w:val="002C1E09"/>
    <w:rsid w:val="002D1078"/>
    <w:rsid w:val="002D3F63"/>
    <w:rsid w:val="002E4DA5"/>
    <w:rsid w:val="002F6F17"/>
    <w:rsid w:val="00376C3E"/>
    <w:rsid w:val="003C18F9"/>
    <w:rsid w:val="003E1FFD"/>
    <w:rsid w:val="003E42C9"/>
    <w:rsid w:val="003E4331"/>
    <w:rsid w:val="00401959"/>
    <w:rsid w:val="00401EC6"/>
    <w:rsid w:val="00412FA5"/>
    <w:rsid w:val="0044046F"/>
    <w:rsid w:val="00442D7E"/>
    <w:rsid w:val="00453975"/>
    <w:rsid w:val="00491C9E"/>
    <w:rsid w:val="004A0752"/>
    <w:rsid w:val="004B6249"/>
    <w:rsid w:val="0053402B"/>
    <w:rsid w:val="005865C6"/>
    <w:rsid w:val="005A2405"/>
    <w:rsid w:val="005C2874"/>
    <w:rsid w:val="00637ED9"/>
    <w:rsid w:val="00677F6F"/>
    <w:rsid w:val="006F073F"/>
    <w:rsid w:val="006F6329"/>
    <w:rsid w:val="007361E5"/>
    <w:rsid w:val="00753A1C"/>
    <w:rsid w:val="007A1DF0"/>
    <w:rsid w:val="00811DC4"/>
    <w:rsid w:val="00864753"/>
    <w:rsid w:val="008C1F55"/>
    <w:rsid w:val="008C6DCD"/>
    <w:rsid w:val="008E42CE"/>
    <w:rsid w:val="00980C65"/>
    <w:rsid w:val="009F160A"/>
    <w:rsid w:val="009F7EC0"/>
    <w:rsid w:val="00A155E4"/>
    <w:rsid w:val="00A251FC"/>
    <w:rsid w:val="00A3557E"/>
    <w:rsid w:val="00AC1A2B"/>
    <w:rsid w:val="00AF14C3"/>
    <w:rsid w:val="00AF317B"/>
    <w:rsid w:val="00B469F9"/>
    <w:rsid w:val="00B63048"/>
    <w:rsid w:val="00B63081"/>
    <w:rsid w:val="00BB6195"/>
    <w:rsid w:val="00BB7D6E"/>
    <w:rsid w:val="00BE493A"/>
    <w:rsid w:val="00C03ACE"/>
    <w:rsid w:val="00C35993"/>
    <w:rsid w:val="00C7313D"/>
    <w:rsid w:val="00C83824"/>
    <w:rsid w:val="00CF7693"/>
    <w:rsid w:val="00D021DA"/>
    <w:rsid w:val="00D07793"/>
    <w:rsid w:val="00D424DE"/>
    <w:rsid w:val="00D736C0"/>
    <w:rsid w:val="00D854A7"/>
    <w:rsid w:val="00DE381D"/>
    <w:rsid w:val="00E71954"/>
    <w:rsid w:val="00E776C3"/>
    <w:rsid w:val="00EE0CEB"/>
    <w:rsid w:val="00F35E25"/>
    <w:rsid w:val="00F67EA2"/>
    <w:rsid w:val="00F97C6B"/>
    <w:rsid w:val="00FB119C"/>
    <w:rsid w:val="00FC7333"/>
    <w:rsid w:val="00FE1704"/>
    <w:rsid w:val="00FE6C11"/>
    <w:rsid w:val="00FE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8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8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8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C18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77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76C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6C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8E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18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18F9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3C18F9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469F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E776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E776C3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E776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2018-06-15T07:50:00Z</cp:lastPrinted>
  <dcterms:created xsi:type="dcterms:W3CDTF">2018-07-24T08:50:00Z</dcterms:created>
  <dcterms:modified xsi:type="dcterms:W3CDTF">2018-07-24T08:50:00Z</dcterms:modified>
</cp:coreProperties>
</file>