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050C19">
        <w:rPr>
          <w:rFonts w:ascii="Times New Roman" w:hAnsi="Times New Roman" w:cs="Times New Roman"/>
        </w:rPr>
        <w:t xml:space="preserve">30 </w:t>
      </w:r>
      <w:r w:rsidR="00FB119C">
        <w:rPr>
          <w:rFonts w:ascii="Times New Roman" w:hAnsi="Times New Roman" w:cs="Times New Roman"/>
        </w:rPr>
        <w:t xml:space="preserve"> maja </w:t>
      </w:r>
      <w:r>
        <w:rPr>
          <w:rFonts w:ascii="Times New Roman" w:hAnsi="Times New Roman" w:cs="Times New Roman"/>
        </w:rPr>
        <w:t>2018 r.</w:t>
      </w:r>
    </w:p>
    <w:p w:rsidR="00FB119C" w:rsidRDefault="004B6249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5865C6" w:rsidRDefault="00050C1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ZAPRASZAMY DO OBEJRZENIA WSYTAWY </w:t>
      </w:r>
    </w:p>
    <w:p w:rsidR="00050C19" w:rsidRDefault="00050C1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„OUTSIDERZY Z KOBIERZYNA”, KTÓERA CZYNNA JEST </w:t>
      </w:r>
    </w:p>
    <w:p w:rsidR="005C2874" w:rsidRDefault="005C2874" w:rsidP="005C287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 w:rsidRPr="00BE493A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 SZPITALU IM. DR.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JÓZEFA </w:t>
      </w:r>
      <w:r w:rsidRPr="00BE493A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BABIŃSKIEGO W KRAKOWIE </w:t>
      </w:r>
    </w:p>
    <w:p w:rsidR="00050C19" w:rsidRPr="00806AEA" w:rsidRDefault="00050C19" w:rsidP="00050C1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050C19" w:rsidRDefault="00050C19" w:rsidP="0026215B">
      <w:pPr>
        <w:spacing w:before="100"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050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budynku teatru Szpitala Specjalistycznego im. dr. Józefa Babińskiego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 </w:t>
      </w:r>
      <w:r w:rsidRPr="00050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Krakowie czynna jest wystawa prac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kilkudziesięciu artystów nurtu Art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Brut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 gromadzonej od ponad pół wieku szpitalnej kolekcji</w:t>
      </w:r>
      <w:r w:rsidR="0026215B" w:rsidRPr="00262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26215B" w:rsidRPr="00050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zatytułowana</w:t>
      </w:r>
    </w:p>
    <w:p w:rsidR="00050C19" w:rsidRDefault="00050C19" w:rsidP="0026215B">
      <w:pPr>
        <w:spacing w:after="0"/>
        <w:jc w:val="center"/>
        <w:rPr>
          <w:rFonts w:ascii="Times New Roman" w:eastAsia="Andale Sans UI" w:hAnsi="Times New Roman" w:cs="Tahoma"/>
          <w:b/>
          <w:bCs/>
          <w:color w:val="1A2E3B"/>
          <w:kern w:val="2"/>
          <w:sz w:val="26"/>
          <w:szCs w:val="26"/>
          <w:lang w:bidi="en-US"/>
        </w:rPr>
      </w:pPr>
    </w:p>
    <w:p w:rsidR="00050C19" w:rsidRPr="00050C19" w:rsidRDefault="00050C19" w:rsidP="0026215B">
      <w:pPr>
        <w:spacing w:after="0"/>
        <w:jc w:val="center"/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OUTSIDERZY Z KOBIERZYNA </w:t>
      </w:r>
    </w:p>
    <w:p w:rsidR="00050C19" w:rsidRPr="00050C19" w:rsidRDefault="00050C19" w:rsidP="0026215B">
      <w:pPr>
        <w:spacing w:after="0"/>
        <w:jc w:val="center"/>
        <w:rPr>
          <w:rFonts w:ascii="Times New Roman" w:eastAsia="Andale Sans UI" w:hAnsi="Times New Roman" w:cs="Tahoma"/>
          <w:b/>
          <w:bCs/>
          <w:color w:val="1A2E3B"/>
          <w:kern w:val="2"/>
          <w:sz w:val="26"/>
          <w:szCs w:val="26"/>
          <w:lang w:bidi="en-US"/>
        </w:rPr>
      </w:pPr>
    </w:p>
    <w:p w:rsidR="00050C19" w:rsidRPr="00050C19" w:rsidRDefault="00050C19" w:rsidP="0026215B">
      <w:pPr>
        <w:spacing w:after="0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Kryzys psychiczny i hospitalizacja to bardzo trudne doświadczenie. Jeszcze trudniejsze bywa wychodzenie z kryzysu - próba powrotu do normalności. Niekiedy jednak jest to również czas, kiedy ujawniają się wcześniej ukryte i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 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nieuświadomione talenty oraz nieprzeparta czasem chęć tworzenia, która odczuwana bywa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nawet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jako rodzaj wewnętrznego przymusu. </w:t>
      </w:r>
    </w:p>
    <w:p w:rsidR="0026215B" w:rsidRPr="00050C19" w:rsidRDefault="00050C19" w:rsidP="0026215B">
      <w:pPr>
        <w:spacing w:after="0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Od lat 60-tych z inicjatywy p. dr Noemi Madejskiej tworzono warunki, by te pojawiające się talenty mogły się rozwijać.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6"/>
          <w:szCs w:val="26"/>
          <w:lang w:bidi="en-US"/>
        </w:rPr>
        <w:t xml:space="preserve">,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Działania te podjął następnie dr Andrzej Kowal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, który jako Dyrektor Szpitala w latach 1989 -2003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decyd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ował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o tworzeniu  kolejnych pracowni, które umożliwiały różn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e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twórcze aktywności. 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Tak powstała </w:t>
      </w:r>
      <w:r w:rsidR="0026215B" w:rsidRP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szpitalna 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kolekcja 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licząca 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około 4000 prac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.</w:t>
      </w:r>
      <w:r w:rsidR="0026215B" w:rsidRP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Obecnie 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pracownia terapii zajęciowej jest standardem w każdym szpitalnym oddziale. Terapeuci i lekarze</w:t>
      </w:r>
      <w:r w:rsid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nadal </w:t>
      </w:r>
      <w:r w:rsidR="0026215B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starają się zachęcać do tworzenia i wspierają malujących, rysujących, ale też piszących pacjentów. </w:t>
      </w:r>
    </w:p>
    <w:p w:rsidR="0026215B" w:rsidRPr="00050C19" w:rsidRDefault="0026215B" w:rsidP="0026215B">
      <w:pPr>
        <w:spacing w:after="0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</w:p>
    <w:p w:rsidR="00050C19" w:rsidRPr="00050C19" w:rsidRDefault="0026215B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26215B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lastRenderedPageBreak/>
        <w:t>G</w:t>
      </w:r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romadzone w Szpitalu rysunki i obrazy to również ważne źródło poznania chorego, jego przeżyć i emocji, które nie zawsze dają się wypowiedzieć czy opisać słowami. Zapraszamy do obejrzenia prac 15 artystów, z których część wpisała się na zawsze do dziejów polskiego i światowego </w:t>
      </w:r>
      <w:r w:rsidR="00050C19" w:rsidRPr="00050C19">
        <w:rPr>
          <w:rFonts w:ascii="Times New Roman" w:eastAsia="Andale Sans UI" w:hAnsi="Times New Roman" w:cs="Tahoma"/>
          <w:bCs/>
          <w:i/>
          <w:color w:val="1A2E3B"/>
          <w:kern w:val="2"/>
          <w:sz w:val="28"/>
          <w:szCs w:val="28"/>
          <w:lang w:bidi="en-US"/>
        </w:rPr>
        <w:t xml:space="preserve">Art </w:t>
      </w:r>
      <w:proofErr w:type="spellStart"/>
      <w:r w:rsidR="00050C19" w:rsidRPr="00050C19">
        <w:rPr>
          <w:rFonts w:ascii="Times New Roman" w:eastAsia="Andale Sans UI" w:hAnsi="Times New Roman" w:cs="Tahoma"/>
          <w:bCs/>
          <w:i/>
          <w:color w:val="1A2E3B"/>
          <w:kern w:val="2"/>
          <w:sz w:val="28"/>
          <w:szCs w:val="28"/>
          <w:lang w:bidi="en-US"/>
        </w:rPr>
        <w:t>Brut</w:t>
      </w:r>
      <w:proofErr w:type="spellEnd"/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. </w:t>
      </w:r>
    </w:p>
    <w:p w:rsidR="00C6373E" w:rsidRDefault="00C6373E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6"/>
          <w:szCs w:val="26"/>
          <w:lang w:bidi="en-US"/>
        </w:rPr>
      </w:pP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Różne są ich historie, różnego rodzaju traum doświadczyli. Malując czy rysując stosują rozmaite środki artystycznego wyrazu. Wspólne jest im czerpanie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bardziej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z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 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własnego wnętrza i wyobraźni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niż z otaczającego świata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oraz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często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obojętność wobec schematów i tradycji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tak zwanego Świata S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ztuki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(Art World)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. Nierzadko tworzą oni tak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,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jakby „nie istniała żadna historia plastyczna”, nie odwołują się do niej lub </w:t>
      </w:r>
      <w:r w:rsidR="00C6373E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interpretują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ją po swojemu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. Dlatego ich dzieła są niezwykle oryginalne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, nierzadko odległe od wszystkiego tego, do czego przyzwyczaiły nas muzea, galerie czy artystyczne salony.</w:t>
      </w:r>
    </w:p>
    <w:p w:rsidR="00C6373E" w:rsidRDefault="00C6373E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Dla pani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Rena</w:t>
      </w:r>
      <w:r w:rsidR="00C6373E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t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y Bujak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ważne są religijne przeżycia, maluje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postaci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świętych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sceny religijne,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tworząc formy z niewielkich komórek o różnych kształtach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,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które następnie wypełnia jasnymi żywymi  kolorami.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Obrazy pana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Mirosława Śledzia,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który uczestniczył w organizowanych przez Szpital plenerach malarskich, choć nawiązujące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nieco do stylistyki kubizmu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 sz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czególnie P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abla Picassa, są jednak  na wskroś oryginalne.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Pan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Michał Gagatek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w swoich,  chciałoby się powiedzieć impresjonistycznych, a nawet nieco abstrakcyjnych pejzażach pokazywanych na wystawie okazuje się niezrównanym kolorystą.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Pan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Andrzej Dobosz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także zbliża się do abstrakcji syntetyzując formy umieszcz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one najczęściej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na tle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równie schematycznie traktowanego </w:t>
      </w:r>
      <w:r w:rsidR="00C6373E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pejzażu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Pani N.N.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w przypominających barwne kilimy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obrazach maluje serca i kwiaty.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K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ompozycje bliskie motywowi mandali, mogą być interpretowane zgodnie z teorią wybitnego psychiatry i filozofa Karla Jaspersa, jako droga do odzyskiwania wewnętrznej równowagi. </w:t>
      </w:r>
    </w:p>
    <w:p w:rsidR="00050C19" w:rsidRPr="00050C19" w:rsidRDefault="00C6373E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T</w:t>
      </w:r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rzy niewielkie obrazy </w:t>
      </w:r>
      <w:r w:rsidR="00050C19"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Tadeusza Głowali</w:t>
      </w:r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pokazują jego własny indywidualny styl, gdzie formy budowane są  charakterystycznymi, przypominającymi mozaikę barwnymi geometrycznymi elementami. </w:t>
      </w:r>
      <w:r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Pojawiają się tu również motywy związane z pobytem w kobierzyńskim Szpitalu.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Nieżyjący już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Jan Olszak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– absolwent rzeźby w krakowskiej ASP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spędził w Szpitalu Babińskiego wiele lat. Był  owładnięty pędem do tworzenia, niemal kompulsywnym pragnieniem malowania. Pozostawił najbardziej może realistyczne obrazy, choć zawsze pełne ukrytych symbolicznych treści.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Wreszcie prace pana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Władysława Wałęgi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ostatniego z twórców prezentowanych w sali głównej Teatru, który w Szpitalu  zaczynał swoją twórcz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ą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drogę. Jego prace przypominające dzieła surrealistów są niekiedy ponure i mroczne, zawsze pełne symbolicznych znaczeń, a czasem - jak wykonany specjalnie na stulecie Szpitala  Babińskiego obraz - zawierają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zaczerpnięte stąd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motywy, zawsze jednak pozostając osobistymi opowieściami autora. 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</w:p>
    <w:p w:rsidR="00700B0F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</w:pP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 sali bocznej, na prawo od wejścia, obok interesujących prac panów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Draba i Gutowskiego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pokaza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ne zostały </w:t>
      </w:r>
      <w:r w:rsidRPr="00050C19">
        <w:rPr>
          <w:rFonts w:ascii="Times New Roman" w:eastAsia="Andale Sans UI" w:hAnsi="Times New Roman" w:cs="Tahoma"/>
          <w:bCs/>
          <w:i/>
          <w:color w:val="1A2E3B"/>
          <w:kern w:val="2"/>
          <w:sz w:val="28"/>
          <w:szCs w:val="28"/>
          <w:lang w:bidi="en-US"/>
        </w:rPr>
        <w:t>Twarze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. Nie zawsze są to portrety czy autoportrety, niekiedy bowiem mocno zdeformowane stanowią wyraz targających Autorami emocji i przeżyć. </w:t>
      </w:r>
      <w:r w:rsidR="00700B0F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To właśnie na twarzy najwyraźniej 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widoczne </w:t>
      </w:r>
      <w:r w:rsidR="00700B0F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się emocje, odczucia i nastroje. Z niej najwięcej potrafimy odczytać. Tak jest i tutaj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. N</w:t>
      </w:r>
      <w:r w:rsidR="00700B0F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ieobecne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wyobcowane z rzeczywistości monumentalne głowy </w:t>
      </w:r>
      <w:r w:rsidR="00700B0F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wyrzeźbione przez </w:t>
      </w:r>
      <w:r w:rsidR="00700B0F"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Edwarda </w:t>
      </w:r>
      <w:proofErr w:type="spellStart"/>
      <w:r w:rsidR="00700B0F"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Sutora</w:t>
      </w:r>
      <w:proofErr w:type="spellEnd"/>
      <w:r w:rsidR="00700B0F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 </w:t>
      </w:r>
      <w:r w:rsidR="00700B0F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kontrastują z delikatnymi 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wykonanymi </w:t>
      </w:r>
      <w:r w:rsidR="00806AEA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pastelami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postaciami rysowanymi przez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pani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ą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Katarzyn</w:t>
      </w:r>
      <w:r w:rsidR="00700B0F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ę Grandę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oraz 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z pracami M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arii Wnęk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„m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alarki znanej po całym świecie” jednej z najsłynniejszych polskich outsiderek, której prace zobaczyć można w wielu europejskich kolekcjach. P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ełne zdeformowanych form 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są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obrazy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Kazimierza </w:t>
      </w:r>
      <w:proofErr w:type="spellStart"/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Opioły</w:t>
      </w:r>
      <w:proofErr w:type="spellEnd"/>
      <w:r w:rsidR="00700B0F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, które zdaja się być sposobem na wyładowanie wewnętrznej trawiącej artystę agresji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, obok raczej spokojnych choć niekiedy niepokojących utrzymanych w pastelowych barwach obrazów </w:t>
      </w:r>
      <w:r w:rsidR="00C6373E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na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malowanych przez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Włodzimierza </w:t>
      </w:r>
      <w:proofErr w:type="spellStart"/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Stepuro</w:t>
      </w:r>
      <w:proofErr w:type="spellEnd"/>
      <w:r w:rsidR="00700B0F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. </w:t>
      </w:r>
      <w:r w:rsidR="00700B0F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Te cześć ekspozycji zamykają melancholijne i </w:t>
      </w:r>
      <w:r w:rsidR="00806AEA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refleksyjne</w:t>
      </w:r>
      <w:r w:rsidR="00700B0F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, choć </w:t>
      </w:r>
      <w:r w:rsid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niekiedy </w:t>
      </w:r>
      <w:r w:rsidR="00700B0F"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nie pozbawione ekspresji</w:t>
      </w:r>
      <w:r w:rsidR="00700B0F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 </w:t>
      </w:r>
      <w:r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obrazy </w:t>
      </w:r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Ignacego </w:t>
      </w:r>
      <w:proofErr w:type="spellStart"/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>Niedojadły</w:t>
      </w:r>
      <w:proofErr w:type="spellEnd"/>
      <w:r w:rsidRPr="00050C19"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. </w:t>
      </w:r>
    </w:p>
    <w:p w:rsidR="00050C19" w:rsidRPr="00050C19" w:rsidRDefault="00700B0F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700B0F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Wszystkie one zapraszają do dialogu</w:t>
      </w:r>
      <w:r>
        <w:rPr>
          <w:rFonts w:ascii="Times New Roman" w:eastAsia="Andale Sans UI" w:hAnsi="Times New Roman" w:cs="Tahoma"/>
          <w:b/>
          <w:bCs/>
          <w:color w:val="1A2E3B"/>
          <w:kern w:val="2"/>
          <w:sz w:val="28"/>
          <w:szCs w:val="28"/>
          <w:lang w:bidi="en-US"/>
        </w:rPr>
        <w:t xml:space="preserve">, </w:t>
      </w:r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zachęcają do zrozumienia uczuć i emocji twórców</w:t>
      </w:r>
      <w:r w:rsidR="005E0DDA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>,</w:t>
      </w:r>
      <w:r w:rsidR="00050C19" w:rsidRPr="00050C19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 których udziałem stała się choroba i którzy dzięki niej może odnaleźli swój talent i drogę właśnie w sztuce.</w:t>
      </w:r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</w:p>
    <w:p w:rsidR="00050C19" w:rsidRPr="00806AEA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  <w:r w:rsidRPr="00806AEA"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  <w:t xml:space="preserve">Organizatorzy składają serdeczne podziękowania działającemu od 20 lat przy Szpitalu Warsztatowi Terapii Zajęciowej za oprawę prac i gorąco polecają jego usługi w tej dziedzinie. </w:t>
      </w:r>
      <w:bookmarkStart w:id="0" w:name="_GoBack"/>
      <w:bookmarkEnd w:id="0"/>
    </w:p>
    <w:p w:rsidR="00050C19" w:rsidRPr="00050C19" w:rsidRDefault="00050C19" w:rsidP="00050C19">
      <w:pPr>
        <w:spacing w:after="0" w:line="240" w:lineRule="auto"/>
        <w:jc w:val="both"/>
        <w:rPr>
          <w:rFonts w:ascii="Times New Roman" w:eastAsia="Andale Sans UI" w:hAnsi="Times New Roman" w:cs="Tahoma"/>
          <w:bCs/>
          <w:color w:val="1A2E3B"/>
          <w:kern w:val="2"/>
          <w:sz w:val="28"/>
          <w:szCs w:val="28"/>
          <w:lang w:bidi="en-US"/>
        </w:rPr>
      </w:pPr>
    </w:p>
    <w:p w:rsidR="005E0DDA" w:rsidRPr="00806AEA" w:rsidRDefault="005E0DDA" w:rsidP="005E0D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06A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Wystawa dostępna jest w dniu powszednie w godzinach od 9.00 do 15.00 </w:t>
      </w:r>
    </w:p>
    <w:p w:rsidR="005E0DDA" w:rsidRPr="00806AEA" w:rsidRDefault="005E0DDA" w:rsidP="005E0D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806A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po uprzednim umówieniu telefonicznym lub e-mailowym (tel. 12 65-24-469, </w:t>
      </w:r>
    </w:p>
    <w:p w:rsidR="00B469F9" w:rsidRPr="00806AEA" w:rsidRDefault="005E0DDA" w:rsidP="005E0D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</w:pPr>
      <w:r w:rsidRPr="00806A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  <w:t>e-mail</w:t>
      </w:r>
      <w:r w:rsidR="00806A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  <w:t>:</w:t>
      </w:r>
      <w:r w:rsidRPr="00806A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  <w:t xml:space="preserve"> maciej.bobr@babinski.pl).</w:t>
      </w:r>
    </w:p>
    <w:p w:rsidR="005E0DDA" w:rsidRPr="00806AEA" w:rsidRDefault="005E0DDA" w:rsidP="005E0D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</w:pPr>
    </w:p>
    <w:p w:rsidR="005E0DDA" w:rsidRPr="00806AEA" w:rsidRDefault="005E0DDA" w:rsidP="005E0DD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l-PL"/>
        </w:rPr>
      </w:pPr>
    </w:p>
    <w:p w:rsidR="004B6249" w:rsidRPr="005C2874" w:rsidRDefault="004B6249" w:rsidP="005E0D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5C" w:rsidRDefault="00965D5C" w:rsidP="003C18F9">
      <w:pPr>
        <w:spacing w:after="0" w:line="240" w:lineRule="auto"/>
      </w:pPr>
      <w:r>
        <w:separator/>
      </w:r>
    </w:p>
  </w:endnote>
  <w:endnote w:type="continuationSeparator" w:id="0">
    <w:p w:rsidR="00965D5C" w:rsidRDefault="00965D5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5C" w:rsidRDefault="00965D5C" w:rsidP="003C18F9">
      <w:pPr>
        <w:spacing w:after="0" w:line="240" w:lineRule="auto"/>
      </w:pPr>
      <w:r>
        <w:separator/>
      </w:r>
    </w:p>
  </w:footnote>
  <w:footnote w:type="continuationSeparator" w:id="0">
    <w:p w:rsidR="00965D5C" w:rsidRDefault="00965D5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50C19" w:rsidRPr="003C18F9" w:rsidRDefault="00050C1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50C19"/>
    <w:rsid w:val="00095B9D"/>
    <w:rsid w:val="001D1511"/>
    <w:rsid w:val="0026215B"/>
    <w:rsid w:val="003C18F9"/>
    <w:rsid w:val="00401959"/>
    <w:rsid w:val="00401EC6"/>
    <w:rsid w:val="00412FA5"/>
    <w:rsid w:val="0044046F"/>
    <w:rsid w:val="00442D7E"/>
    <w:rsid w:val="004B6249"/>
    <w:rsid w:val="005865C6"/>
    <w:rsid w:val="005C2874"/>
    <w:rsid w:val="005E0DDA"/>
    <w:rsid w:val="006F073F"/>
    <w:rsid w:val="00700B0F"/>
    <w:rsid w:val="00806AEA"/>
    <w:rsid w:val="00811DC4"/>
    <w:rsid w:val="008C6DCD"/>
    <w:rsid w:val="008F2596"/>
    <w:rsid w:val="00965D5C"/>
    <w:rsid w:val="009F7EC0"/>
    <w:rsid w:val="00A155E4"/>
    <w:rsid w:val="00A251FC"/>
    <w:rsid w:val="00AF317B"/>
    <w:rsid w:val="00B469F9"/>
    <w:rsid w:val="00B63048"/>
    <w:rsid w:val="00B63081"/>
    <w:rsid w:val="00BB7D6E"/>
    <w:rsid w:val="00BE493A"/>
    <w:rsid w:val="00C03ACE"/>
    <w:rsid w:val="00C6373E"/>
    <w:rsid w:val="00C83824"/>
    <w:rsid w:val="00D07793"/>
    <w:rsid w:val="00D424DE"/>
    <w:rsid w:val="00D736C0"/>
    <w:rsid w:val="00E71954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3833-8493-451D-84AF-A9DD9744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2018-05-30T13:19:00Z</dcterms:created>
  <dcterms:modified xsi:type="dcterms:W3CDTF">2018-05-30T13:35:00Z</dcterms:modified>
</cp:coreProperties>
</file>